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3CA7" w14:textId="778110D3" w:rsidR="003A050E" w:rsidRPr="00854908" w:rsidRDefault="00441DD2" w:rsidP="00441DD2">
      <w:pPr>
        <w:jc w:val="right"/>
        <w:rPr>
          <w:rFonts w:ascii="Aptos" w:eastAsia="Meiryo UI" w:hAnsi="Aptos" w:cs="Arial"/>
        </w:rPr>
      </w:pPr>
      <w:r w:rsidRPr="00854908">
        <w:rPr>
          <w:rFonts w:ascii="Aptos" w:eastAsia="Meiryo UI" w:hAnsi="Aptos" w:cs="Arial"/>
          <w:noProof/>
        </w:rPr>
        <w:drawing>
          <wp:inline distT="0" distB="0" distL="0" distR="0" wp14:anchorId="2D6F6AE3" wp14:editId="2664403D">
            <wp:extent cx="2009955" cy="586237"/>
            <wp:effectExtent l="0" t="0" r="0" b="4445"/>
            <wp:docPr id="1" name="Picture 1" descr="I:\SST Profile, Ltrhd, Memo, Fax Sht, Logo\SteelSumm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T Profile, Ltrhd, Memo, Fax Sht, Logo\SteelSumm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2740" cy="589966"/>
                    </a:xfrm>
                    <a:prstGeom prst="rect">
                      <a:avLst/>
                    </a:prstGeom>
                    <a:noFill/>
                    <a:ln>
                      <a:noFill/>
                    </a:ln>
                  </pic:spPr>
                </pic:pic>
              </a:graphicData>
            </a:graphic>
          </wp:inline>
        </w:drawing>
      </w:r>
    </w:p>
    <w:p w14:paraId="5D178408" w14:textId="77777777" w:rsidR="00774236" w:rsidRPr="00854908" w:rsidRDefault="00774236" w:rsidP="00713CC9">
      <w:pPr>
        <w:pStyle w:val="Heading1"/>
        <w:spacing w:after="240" w:line="240" w:lineRule="auto"/>
        <w:jc w:val="center"/>
        <w:rPr>
          <w:rFonts w:ascii="Aptos" w:eastAsia="Meiryo UI" w:hAnsi="Aptos" w:cs="Arial"/>
          <w:b/>
          <w:bCs/>
        </w:rPr>
      </w:pPr>
      <w:r w:rsidRPr="00854908">
        <w:rPr>
          <w:rFonts w:ascii="Aptos" w:eastAsia="Meiryo UI" w:hAnsi="Aptos" w:cs="Arial"/>
          <w:b/>
          <w:bCs/>
        </w:rPr>
        <w:t>SteelSummit Holdings, Inc.</w:t>
      </w:r>
    </w:p>
    <w:p w14:paraId="6A310D7B" w14:textId="77777777" w:rsidR="00774236" w:rsidRPr="00854908" w:rsidRDefault="00774236" w:rsidP="0016419B">
      <w:pPr>
        <w:pStyle w:val="Heading1"/>
        <w:spacing w:before="120" w:after="240" w:line="240" w:lineRule="auto"/>
        <w:jc w:val="center"/>
        <w:rPr>
          <w:rFonts w:ascii="Aptos" w:eastAsia="Meiryo UI" w:hAnsi="Aptos" w:cs="Arial"/>
          <w:b/>
          <w:bCs/>
        </w:rPr>
      </w:pPr>
      <w:r w:rsidRPr="00854908">
        <w:rPr>
          <w:rFonts w:ascii="Aptos" w:eastAsia="Meiryo UI" w:hAnsi="Aptos" w:cs="Arial"/>
          <w:b/>
          <w:bCs/>
        </w:rPr>
        <w:t>Low Carbon Transition Plan – Executive Summary</w:t>
      </w:r>
    </w:p>
    <w:p w14:paraId="681E7740" w14:textId="77777777" w:rsidR="00774236" w:rsidRPr="00854908" w:rsidRDefault="00774236" w:rsidP="000A7E63">
      <w:pPr>
        <w:pStyle w:val="Heading2"/>
        <w:spacing w:before="360"/>
        <w:rPr>
          <w:rFonts w:ascii="Aptos" w:eastAsia="Meiryo UI" w:hAnsi="Aptos" w:cs="Arial"/>
        </w:rPr>
      </w:pPr>
      <w:r w:rsidRPr="00854908">
        <w:rPr>
          <w:rFonts w:ascii="Aptos" w:eastAsia="Meiryo UI" w:hAnsi="Aptos" w:cs="Arial"/>
        </w:rPr>
        <w:t>Introduction</w:t>
      </w:r>
    </w:p>
    <w:p w14:paraId="73D1B9DF" w14:textId="77777777" w:rsidR="00774236" w:rsidRPr="00854908" w:rsidRDefault="00774236" w:rsidP="00774236">
      <w:pPr>
        <w:rPr>
          <w:rFonts w:ascii="Aptos" w:eastAsia="Meiryo UI" w:hAnsi="Aptos" w:cs="Arial"/>
        </w:rPr>
      </w:pPr>
      <w:r w:rsidRPr="00854908">
        <w:rPr>
          <w:rFonts w:ascii="Aptos" w:eastAsia="Meiryo UI" w:hAnsi="Aptos" w:cs="Arial"/>
        </w:rPr>
        <w:t xml:space="preserve">It is exceedingly important to SteelSummit Holdings, Inc. (SteelSummit) and its stakeholders to align corporate actions with ethical behavior in the environmental and social domains of the communities in which it operates. Establishing proper governance and oversight of these initiatives ensures that SteelSummit achieves its sustainability goals. </w:t>
      </w:r>
      <w:proofErr w:type="spellStart"/>
      <w:r w:rsidRPr="00854908">
        <w:rPr>
          <w:rFonts w:ascii="Aptos" w:eastAsia="Meiryo UI" w:hAnsi="Aptos" w:cs="Arial"/>
        </w:rPr>
        <w:t>SteelSummit’s</w:t>
      </w:r>
      <w:proofErr w:type="spellEnd"/>
      <w:r w:rsidRPr="00854908">
        <w:rPr>
          <w:rFonts w:ascii="Aptos" w:eastAsia="Meiryo UI" w:hAnsi="Aptos" w:cs="Arial"/>
        </w:rPr>
        <w:t xml:space="preserve"> Low Carbon Transition Plan (LCTP) outlines the framework of these initiatives and how SteelSummit will achieve long-lasting and impactful sustainability strategies. </w:t>
      </w:r>
    </w:p>
    <w:p w14:paraId="4FD4A83B" w14:textId="77777777" w:rsidR="00774236" w:rsidRDefault="00774236" w:rsidP="00774236">
      <w:pPr>
        <w:rPr>
          <w:rFonts w:ascii="Aptos" w:eastAsia="Meiryo UI" w:hAnsi="Aptos" w:cs="Arial"/>
        </w:rPr>
      </w:pPr>
      <w:r w:rsidRPr="00854908">
        <w:rPr>
          <w:rFonts w:ascii="Aptos" w:eastAsia="Meiryo UI" w:hAnsi="Aptos" w:cs="Arial"/>
        </w:rPr>
        <w:t>SteelSummit hopes to make meaningful environmental change by setting targets to reduce emissions and overall carbon footprint to align with the 1.5</w:t>
      </w:r>
      <w:r w:rsidRPr="00854908">
        <w:rPr>
          <w:rFonts w:ascii="Aptos" w:eastAsia="Meiryo UI" w:hAnsi="Aptos" w:cs="Arial"/>
          <w:vertAlign w:val="superscript"/>
        </w:rPr>
        <w:t xml:space="preserve"> </w:t>
      </w:r>
      <w:proofErr w:type="spellStart"/>
      <w:r w:rsidRPr="00854908">
        <w:rPr>
          <w:rFonts w:ascii="Aptos" w:eastAsia="Meiryo UI" w:hAnsi="Aptos" w:cs="Arial"/>
          <w:vertAlign w:val="superscript"/>
        </w:rPr>
        <w:t>o</w:t>
      </w:r>
      <w:r w:rsidRPr="00854908">
        <w:rPr>
          <w:rFonts w:ascii="Aptos" w:eastAsia="Meiryo UI" w:hAnsi="Aptos" w:cs="Arial"/>
        </w:rPr>
        <w:t>C</w:t>
      </w:r>
      <w:proofErr w:type="spellEnd"/>
      <w:r w:rsidRPr="00854908">
        <w:rPr>
          <w:rFonts w:ascii="Aptos" w:eastAsia="Meiryo UI" w:hAnsi="Aptos" w:cs="Arial"/>
        </w:rPr>
        <w:t xml:space="preserve"> ambition of the </w:t>
      </w:r>
      <w:hyperlink r:id="rId11" w:anchor=":~:text=It%20entered%20into%20force%20on,above%20pre%2Dindustrial%20levels.%E2%80%9D" w:history="1">
        <w:r w:rsidRPr="00854908">
          <w:rPr>
            <w:rStyle w:val="Hyperlink"/>
            <w:rFonts w:ascii="Aptos" w:eastAsia="Meiryo UI" w:hAnsi="Aptos" w:cs="Arial"/>
          </w:rPr>
          <w:t>Paris Agreement</w:t>
        </w:r>
      </w:hyperlink>
      <w:r w:rsidRPr="00854908">
        <w:rPr>
          <w:rFonts w:ascii="Aptos" w:eastAsia="Meiryo UI" w:hAnsi="Aptos" w:cs="Arial"/>
        </w:rPr>
        <w:t xml:space="preserve">. </w:t>
      </w:r>
      <w:proofErr w:type="spellStart"/>
      <w:r w:rsidRPr="00854908">
        <w:rPr>
          <w:rFonts w:ascii="Aptos" w:eastAsia="Meiryo UI" w:hAnsi="Aptos" w:cs="Arial"/>
        </w:rPr>
        <w:t>SteelSummit’s</w:t>
      </w:r>
      <w:proofErr w:type="spellEnd"/>
      <w:r w:rsidRPr="00854908">
        <w:rPr>
          <w:rFonts w:ascii="Aptos" w:eastAsia="Meiryo UI" w:hAnsi="Aptos" w:cs="Arial"/>
        </w:rPr>
        <w:t xml:space="preserve"> primary focus in this next decade will be on emissions reductions, ultimately resulting in “</w:t>
      </w:r>
      <w:hyperlink r:id="rId12" w:history="1">
        <w:r w:rsidRPr="00854908">
          <w:rPr>
            <w:rStyle w:val="Hyperlink"/>
            <w:rFonts w:ascii="Aptos" w:eastAsia="Meiryo UI" w:hAnsi="Aptos" w:cs="Arial"/>
          </w:rPr>
          <w:t>net zero</w:t>
        </w:r>
      </w:hyperlink>
      <w:r w:rsidRPr="00854908">
        <w:rPr>
          <w:rFonts w:ascii="Aptos" w:eastAsia="Meiryo UI" w:hAnsi="Aptos" w:cs="Arial"/>
        </w:rPr>
        <w:t xml:space="preserve">” emissions for SteelSummit by 2050. Emission reductions will occur in three </w:t>
      </w:r>
      <w:proofErr w:type="gramStart"/>
      <w:r w:rsidRPr="00854908">
        <w:rPr>
          <w:rFonts w:ascii="Aptos" w:eastAsia="Meiryo UI" w:hAnsi="Aptos" w:cs="Arial"/>
        </w:rPr>
        <w:t>scopes</w:t>
      </w:r>
      <w:proofErr w:type="gramEnd"/>
      <w:r w:rsidRPr="00854908">
        <w:rPr>
          <w:rFonts w:ascii="Aptos" w:eastAsia="Meiryo UI" w:hAnsi="Aptos" w:cs="Arial"/>
        </w:rPr>
        <w:t xml:space="preserve">. Scope 1 emissions are direct greenhouse gas (GHG) emissions that a company produces from sources that it owns or controls. Scope 2 emissions are indirect GHG emissions associated with the purchase of electricity, steam, heat, or cooling. Scope 3 emissions are the result of activities from assets not owned or controlled by the reporting organization, but that the organization indirectly </w:t>
      </w:r>
      <w:proofErr w:type="gramStart"/>
      <w:r w:rsidRPr="00854908">
        <w:rPr>
          <w:rFonts w:ascii="Aptos" w:eastAsia="Meiryo UI" w:hAnsi="Aptos" w:cs="Arial"/>
        </w:rPr>
        <w:t>affects in</w:t>
      </w:r>
      <w:proofErr w:type="gramEnd"/>
      <w:r w:rsidRPr="00854908">
        <w:rPr>
          <w:rFonts w:ascii="Aptos" w:eastAsia="Meiryo UI" w:hAnsi="Aptos" w:cs="Arial"/>
        </w:rPr>
        <w:t xml:space="preserve"> its value chain. By reducing emissions in these three scopes, SteelSummit will be able to make a meaningful reduction in its carbon footprint and overall environmental influence.  </w:t>
      </w:r>
    </w:p>
    <w:p w14:paraId="2C46C1F7" w14:textId="77777777" w:rsidR="00774236" w:rsidRPr="00854908" w:rsidRDefault="00774236" w:rsidP="000A7E63">
      <w:pPr>
        <w:pStyle w:val="Heading2"/>
        <w:spacing w:before="360"/>
        <w:rPr>
          <w:rFonts w:ascii="Aptos" w:eastAsia="Meiryo UI" w:hAnsi="Aptos" w:cs="Arial"/>
        </w:rPr>
      </w:pPr>
      <w:r w:rsidRPr="00854908">
        <w:rPr>
          <w:rFonts w:ascii="Aptos" w:eastAsia="Meiryo UI" w:hAnsi="Aptos" w:cs="Arial"/>
        </w:rPr>
        <w:t xml:space="preserve">Governance </w:t>
      </w:r>
    </w:p>
    <w:p w14:paraId="318BF51A" w14:textId="77777777" w:rsidR="00774236" w:rsidRDefault="00774236" w:rsidP="00774236">
      <w:pPr>
        <w:rPr>
          <w:rFonts w:ascii="Aptos" w:eastAsia="Meiryo UI" w:hAnsi="Aptos" w:cs="Arial"/>
        </w:rPr>
      </w:pPr>
      <w:r w:rsidRPr="00854908">
        <w:rPr>
          <w:rFonts w:ascii="Aptos" w:eastAsia="Meiryo UI" w:hAnsi="Aptos" w:cs="Arial"/>
        </w:rPr>
        <w:t xml:space="preserve">Establishing distinguished positions of oversight for a project of this magnitude will help ensure it remains on schedule and on target. Board-level oversight has been put in place through a “steering committee” (equivalent to the board). This steering committee includes but is not limited to the Chief Executive Officer (CEO), Chief Financial Officer (CFO), and Chief Operating Officer (COO) who all attend scheduled sustainability meetings where </w:t>
      </w:r>
      <w:proofErr w:type="spellStart"/>
      <w:r w:rsidRPr="00854908">
        <w:rPr>
          <w:rFonts w:ascii="Aptos" w:eastAsia="Meiryo UI" w:hAnsi="Aptos" w:cs="Arial"/>
        </w:rPr>
        <w:t>SteelSummit’s</w:t>
      </w:r>
      <w:proofErr w:type="spellEnd"/>
      <w:r w:rsidRPr="00854908">
        <w:rPr>
          <w:rFonts w:ascii="Aptos" w:eastAsia="Meiryo UI" w:hAnsi="Aptos" w:cs="Arial"/>
        </w:rPr>
        <w:t xml:space="preserve"> progress is reviewed with other members of the team. Other members of this sustainability team include the Corporate EHS Manager, Corporate Human Resource Director, Corporate ESG and Sustainability Specialist, VP of Corporate Planning and Internal Control, and a sustainability consultant. </w:t>
      </w:r>
      <w:proofErr w:type="spellStart"/>
      <w:r w:rsidRPr="00854908">
        <w:rPr>
          <w:rFonts w:ascii="Aptos" w:eastAsia="Meiryo UI" w:hAnsi="Aptos" w:cs="Arial"/>
        </w:rPr>
        <w:t>SteelSummit’s</w:t>
      </w:r>
      <w:proofErr w:type="spellEnd"/>
      <w:r w:rsidRPr="00854908">
        <w:rPr>
          <w:rFonts w:ascii="Aptos" w:eastAsia="Meiryo UI" w:hAnsi="Aptos" w:cs="Arial"/>
        </w:rPr>
        <w:t xml:space="preserve"> parent company, Sumitomo Corporation, is also initiating its own large-scale sustainability plan which SteelSummit is a part of, adding an additional layer of governance and oversight. </w:t>
      </w:r>
    </w:p>
    <w:p w14:paraId="6146AE26" w14:textId="77777777" w:rsidR="00774236" w:rsidRPr="00854908" w:rsidRDefault="00774236" w:rsidP="008F2AD9">
      <w:pPr>
        <w:pStyle w:val="Heading2"/>
        <w:spacing w:before="240"/>
        <w:rPr>
          <w:rFonts w:ascii="Aptos" w:eastAsia="Meiryo UI" w:hAnsi="Aptos" w:cs="Arial"/>
        </w:rPr>
      </w:pPr>
      <w:r w:rsidRPr="00854908">
        <w:rPr>
          <w:rFonts w:ascii="Aptos" w:eastAsia="Meiryo UI" w:hAnsi="Aptos" w:cs="Arial"/>
        </w:rPr>
        <w:lastRenderedPageBreak/>
        <w:t>Financial Planning and Policy Engagement</w:t>
      </w:r>
    </w:p>
    <w:p w14:paraId="3DA4CDED" w14:textId="77777777" w:rsidR="000C5474" w:rsidRDefault="00774236" w:rsidP="00774236">
      <w:pPr>
        <w:rPr>
          <w:rFonts w:ascii="Aptos" w:eastAsia="Meiryo UI" w:hAnsi="Aptos" w:cs="Arial"/>
        </w:rPr>
      </w:pPr>
      <w:r w:rsidRPr="00854908">
        <w:rPr>
          <w:rFonts w:ascii="Aptos" w:eastAsia="Meiryo UI" w:hAnsi="Aptos" w:cs="Arial"/>
        </w:rPr>
        <w:t xml:space="preserve">Financial planning and policy engagement are both significant topics for the proper implementation of this LCTP. The CFO oversees all economic sustainability decisions and ensures we have proper finances set aside for the tasks and projects SteelSummit has </w:t>
      </w:r>
      <w:proofErr w:type="gramStart"/>
      <w:r w:rsidRPr="00854908">
        <w:rPr>
          <w:rFonts w:ascii="Aptos" w:eastAsia="Meiryo UI" w:hAnsi="Aptos" w:cs="Arial"/>
        </w:rPr>
        <w:t>planned for the future</w:t>
      </w:r>
      <w:proofErr w:type="gramEnd"/>
      <w:r w:rsidRPr="00854908">
        <w:rPr>
          <w:rFonts w:ascii="Aptos" w:eastAsia="Meiryo UI" w:hAnsi="Aptos" w:cs="Arial"/>
        </w:rPr>
        <w:t xml:space="preserve">. Policy engagement involves SteelSummit aligning itself with internal and/or external policies to keep sustainability initiatives transparent and robust. </w:t>
      </w:r>
      <w:proofErr w:type="gramStart"/>
      <w:r w:rsidRPr="00854908">
        <w:rPr>
          <w:rFonts w:ascii="Aptos" w:eastAsia="Meiryo UI" w:hAnsi="Aptos" w:cs="Arial"/>
        </w:rPr>
        <w:t>At this time</w:t>
      </w:r>
      <w:proofErr w:type="gramEnd"/>
      <w:r w:rsidRPr="00854908">
        <w:rPr>
          <w:rFonts w:ascii="Aptos" w:eastAsia="Meiryo UI" w:hAnsi="Aptos" w:cs="Arial"/>
        </w:rPr>
        <w:t xml:space="preserve">, SteelSummit aligns its sustainability initiatives with two external platforms, the CDP and Science-Based Targets Initiative (SBTi). These are two globally recognized sustainability platforms that outline the best approach towards GHG emissions reduction and sustainability practices. </w:t>
      </w:r>
    </w:p>
    <w:p w14:paraId="2109649B" w14:textId="277BCD5D" w:rsidR="004404E6" w:rsidRDefault="00774236" w:rsidP="00774236">
      <w:pPr>
        <w:rPr>
          <w:rFonts w:ascii="Aptos" w:eastAsia="Meiryo UI" w:hAnsi="Aptos" w:cs="Arial"/>
        </w:rPr>
      </w:pPr>
      <w:r w:rsidRPr="00854908">
        <w:rPr>
          <w:rFonts w:ascii="Aptos" w:eastAsia="Meiryo UI" w:hAnsi="Aptos" w:cs="Arial"/>
        </w:rPr>
        <w:t>SteelSummit has filled out the CDP questionnaire annually, since 2020, and committed through SBTi to set and verify emissions reduction targets by the end of 2025.</w:t>
      </w:r>
      <w:r w:rsidR="003F0F10">
        <w:rPr>
          <w:rFonts w:ascii="Aptos" w:eastAsia="Meiryo UI" w:hAnsi="Aptos" w:cs="Arial"/>
        </w:rPr>
        <w:t xml:space="preserve"> </w:t>
      </w:r>
      <w:r w:rsidR="00BD4C62">
        <w:rPr>
          <w:rFonts w:ascii="Aptos" w:eastAsia="Meiryo UI" w:hAnsi="Aptos" w:cs="Arial"/>
        </w:rPr>
        <w:t xml:space="preserve">At the beginning of 2024, SSH signed a commitment letter to SBTi signaling our intent to set a science-based goal </w:t>
      </w:r>
      <w:r w:rsidR="00A15931">
        <w:rPr>
          <w:rFonts w:ascii="Aptos" w:eastAsia="Meiryo UI" w:hAnsi="Aptos" w:cs="Arial"/>
        </w:rPr>
        <w:t xml:space="preserve">within two years. </w:t>
      </w:r>
      <w:r w:rsidR="003F0F10">
        <w:rPr>
          <w:rFonts w:ascii="Aptos" w:eastAsia="Meiryo UI" w:hAnsi="Aptos" w:cs="Arial"/>
        </w:rPr>
        <w:t>Once approved, S</w:t>
      </w:r>
      <w:r w:rsidR="004404E6">
        <w:rPr>
          <w:rFonts w:ascii="Aptos" w:eastAsia="Meiryo UI" w:hAnsi="Aptos" w:cs="Arial"/>
        </w:rPr>
        <w:t>teelSummit</w:t>
      </w:r>
      <w:r w:rsidR="003F0F10">
        <w:rPr>
          <w:rFonts w:ascii="Aptos" w:eastAsia="Meiryo UI" w:hAnsi="Aptos" w:cs="Arial"/>
        </w:rPr>
        <w:t xml:space="preserve"> will have near-term and long-term net-zero science-based targets. </w:t>
      </w:r>
      <w:r w:rsidR="004404E6">
        <w:rPr>
          <w:rFonts w:ascii="Aptos" w:eastAsia="Meiryo UI" w:hAnsi="Aptos" w:cs="Arial"/>
        </w:rPr>
        <w:t xml:space="preserve">As of fall 2024, SteelSummit is </w:t>
      </w:r>
      <w:r w:rsidR="003A1843">
        <w:rPr>
          <w:rFonts w:ascii="Aptos" w:eastAsia="Meiryo UI" w:hAnsi="Aptos" w:cs="Arial"/>
        </w:rPr>
        <w:t xml:space="preserve">also </w:t>
      </w:r>
      <w:r w:rsidR="004404E6">
        <w:rPr>
          <w:rFonts w:ascii="Aptos" w:eastAsia="Meiryo UI" w:hAnsi="Aptos" w:cs="Arial"/>
        </w:rPr>
        <w:t>working towards achieving ISO-14001 Environmental Management System</w:t>
      </w:r>
      <w:r w:rsidR="00BF5623">
        <w:rPr>
          <w:rFonts w:ascii="Aptos" w:eastAsia="Meiryo UI" w:hAnsi="Aptos" w:cs="Arial"/>
        </w:rPr>
        <w:t xml:space="preserve"> </w:t>
      </w:r>
      <w:r w:rsidR="003A1843">
        <w:rPr>
          <w:rFonts w:ascii="Aptos" w:eastAsia="Meiryo UI" w:hAnsi="Aptos" w:cs="Arial"/>
        </w:rPr>
        <w:t>(EMS)</w:t>
      </w:r>
      <w:r w:rsidR="00BF5623">
        <w:rPr>
          <w:rFonts w:ascii="Aptos" w:eastAsia="Meiryo UI" w:hAnsi="Aptos" w:cs="Arial"/>
        </w:rPr>
        <w:t xml:space="preserve"> certifications</w:t>
      </w:r>
      <w:r w:rsidR="004404E6">
        <w:rPr>
          <w:rFonts w:ascii="Aptos" w:eastAsia="Meiryo UI" w:hAnsi="Aptos" w:cs="Arial"/>
        </w:rPr>
        <w:t xml:space="preserve"> for each of its four manufacturing plants</w:t>
      </w:r>
      <w:r w:rsidR="00BF5623">
        <w:rPr>
          <w:rFonts w:ascii="Aptos" w:eastAsia="Meiryo UI" w:hAnsi="Aptos" w:cs="Arial"/>
        </w:rPr>
        <w:t xml:space="preserve"> </w:t>
      </w:r>
      <w:proofErr w:type="gramStart"/>
      <w:r w:rsidR="00BF5623">
        <w:rPr>
          <w:rFonts w:ascii="Aptos" w:eastAsia="Meiryo UI" w:hAnsi="Aptos" w:cs="Arial"/>
        </w:rPr>
        <w:t>in order to</w:t>
      </w:r>
      <w:proofErr w:type="gramEnd"/>
      <w:r w:rsidR="00BF5623">
        <w:rPr>
          <w:rFonts w:ascii="Aptos" w:eastAsia="Meiryo UI" w:hAnsi="Aptos" w:cs="Arial"/>
        </w:rPr>
        <w:t xml:space="preserve"> better understand and reduce waste and resource usage</w:t>
      </w:r>
      <w:r w:rsidR="004404E6">
        <w:rPr>
          <w:rFonts w:ascii="Aptos" w:eastAsia="Meiryo UI" w:hAnsi="Aptos" w:cs="Arial"/>
        </w:rPr>
        <w:t xml:space="preserve">. </w:t>
      </w:r>
    </w:p>
    <w:p w14:paraId="6F93E17C" w14:textId="372BA944" w:rsidR="00774236" w:rsidRDefault="00774236" w:rsidP="00774236">
      <w:pPr>
        <w:rPr>
          <w:rFonts w:ascii="Aptos" w:eastAsia="Meiryo UI" w:hAnsi="Aptos" w:cs="Arial"/>
        </w:rPr>
      </w:pPr>
      <w:r w:rsidRPr="00854908">
        <w:rPr>
          <w:rFonts w:ascii="Aptos" w:eastAsia="Meiryo UI" w:hAnsi="Aptos" w:cs="Arial"/>
        </w:rPr>
        <w:t xml:space="preserve">In addition, SteelSummit adopted </w:t>
      </w:r>
      <w:hyperlink r:id="rId13" w:anchor=":~:text=Sharing%20this%20policy%2C%20Sumitomo%20Corporation,ISO%2014001%20environment%20management%20system." w:history="1">
        <w:r w:rsidRPr="00854908">
          <w:rPr>
            <w:rStyle w:val="Hyperlink"/>
            <w:rFonts w:ascii="Aptos" w:eastAsia="Meiryo UI" w:hAnsi="Aptos" w:cs="Arial"/>
          </w:rPr>
          <w:t>Sumitomo’s environmental policy</w:t>
        </w:r>
      </w:hyperlink>
      <w:r w:rsidRPr="00854908">
        <w:rPr>
          <w:rFonts w:ascii="Aptos" w:eastAsia="Meiryo UI" w:hAnsi="Aptos" w:cs="Arial"/>
        </w:rPr>
        <w:t xml:space="preserve"> as a means to emphasize and integrate its key features into our sustainability approach. </w:t>
      </w:r>
    </w:p>
    <w:p w14:paraId="173E51A7" w14:textId="77777777" w:rsidR="00774236" w:rsidRPr="00854908" w:rsidRDefault="00774236" w:rsidP="000A7E63">
      <w:pPr>
        <w:pStyle w:val="Heading2"/>
        <w:spacing w:before="360"/>
        <w:rPr>
          <w:rFonts w:ascii="Aptos" w:eastAsia="Meiryo UI" w:hAnsi="Aptos" w:cs="Arial"/>
        </w:rPr>
      </w:pPr>
      <w:r w:rsidRPr="00854908">
        <w:rPr>
          <w:rFonts w:ascii="Aptos" w:eastAsia="Meiryo UI" w:hAnsi="Aptos" w:cs="Arial"/>
        </w:rPr>
        <w:t xml:space="preserve">Key Performance Indicators </w:t>
      </w:r>
    </w:p>
    <w:p w14:paraId="4CCF3408" w14:textId="77777777" w:rsidR="00774236" w:rsidRPr="00854908" w:rsidRDefault="00774236" w:rsidP="00774236">
      <w:pPr>
        <w:rPr>
          <w:rFonts w:ascii="Aptos" w:eastAsia="Meiryo UI" w:hAnsi="Aptos" w:cs="Arial"/>
        </w:rPr>
      </w:pPr>
      <w:r w:rsidRPr="00854908">
        <w:rPr>
          <w:rFonts w:ascii="Aptos" w:eastAsia="Meiryo UI" w:hAnsi="Aptos" w:cs="Arial"/>
        </w:rPr>
        <w:t xml:space="preserve">SteelSummit tracks certain Key Performance Indicators (KPIs) that provide a good outline for how SteelSummit is progressing toward its sustainability goals. These KPIs are as follows: </w:t>
      </w:r>
    </w:p>
    <w:p w14:paraId="440BF1DF" w14:textId="77777777" w:rsidR="00774236" w:rsidRPr="00854908" w:rsidRDefault="00774236" w:rsidP="00774236">
      <w:pPr>
        <w:pStyle w:val="ListParagraph"/>
        <w:numPr>
          <w:ilvl w:val="0"/>
          <w:numId w:val="1"/>
        </w:numPr>
        <w:rPr>
          <w:rFonts w:ascii="Aptos" w:eastAsia="Meiryo UI" w:hAnsi="Aptos" w:cs="Arial"/>
        </w:rPr>
      </w:pPr>
      <w:r w:rsidRPr="00854908">
        <w:rPr>
          <w:rFonts w:ascii="Aptos" w:eastAsia="Meiryo UI" w:hAnsi="Aptos" w:cs="Arial"/>
        </w:rPr>
        <w:t xml:space="preserve">Waste to landfill (tons) </w:t>
      </w:r>
    </w:p>
    <w:p w14:paraId="194ABF1F" w14:textId="77777777" w:rsidR="00774236" w:rsidRPr="00854908" w:rsidRDefault="00774236" w:rsidP="00774236">
      <w:pPr>
        <w:pStyle w:val="ListParagraph"/>
        <w:numPr>
          <w:ilvl w:val="0"/>
          <w:numId w:val="1"/>
        </w:numPr>
        <w:rPr>
          <w:rFonts w:ascii="Aptos" w:eastAsia="Meiryo UI" w:hAnsi="Aptos" w:cs="Arial"/>
        </w:rPr>
      </w:pPr>
      <w:r w:rsidRPr="00854908">
        <w:rPr>
          <w:rFonts w:ascii="Aptos" w:eastAsia="Meiryo UI" w:hAnsi="Aptos" w:cs="Arial"/>
        </w:rPr>
        <w:t>Recycled Materials (tons)</w:t>
      </w:r>
    </w:p>
    <w:p w14:paraId="6392CA32" w14:textId="77777777" w:rsidR="00774236" w:rsidRPr="00854908" w:rsidRDefault="00774236" w:rsidP="00774236">
      <w:pPr>
        <w:pStyle w:val="ListParagraph"/>
        <w:numPr>
          <w:ilvl w:val="0"/>
          <w:numId w:val="1"/>
        </w:numPr>
        <w:rPr>
          <w:rFonts w:ascii="Aptos" w:eastAsia="Meiryo UI" w:hAnsi="Aptos" w:cs="Arial"/>
        </w:rPr>
      </w:pPr>
      <w:r w:rsidRPr="00854908">
        <w:rPr>
          <w:rFonts w:ascii="Aptos" w:eastAsia="Meiryo UI" w:hAnsi="Aptos" w:cs="Arial"/>
        </w:rPr>
        <w:t xml:space="preserve">Water usage (tons) </w:t>
      </w:r>
    </w:p>
    <w:p w14:paraId="1163DA60" w14:textId="77777777" w:rsidR="00774236" w:rsidRPr="00854908" w:rsidRDefault="00774236" w:rsidP="00774236">
      <w:pPr>
        <w:pStyle w:val="ListParagraph"/>
        <w:numPr>
          <w:ilvl w:val="0"/>
          <w:numId w:val="1"/>
        </w:numPr>
        <w:rPr>
          <w:rFonts w:ascii="Aptos" w:eastAsia="Meiryo UI" w:hAnsi="Aptos" w:cs="Arial"/>
        </w:rPr>
      </w:pPr>
      <w:r w:rsidRPr="00854908">
        <w:rPr>
          <w:rFonts w:ascii="Aptos" w:eastAsia="Meiryo UI" w:hAnsi="Aptos" w:cs="Arial"/>
        </w:rPr>
        <w:t>Natural gas/propane usage (</w:t>
      </w:r>
      <w:proofErr w:type="spellStart"/>
      <w:r w:rsidRPr="00854908">
        <w:rPr>
          <w:rFonts w:ascii="Aptos" w:eastAsia="Meiryo UI" w:hAnsi="Aptos" w:cs="Arial"/>
        </w:rPr>
        <w:t>ccf</w:t>
      </w:r>
      <w:proofErr w:type="spellEnd"/>
      <w:r w:rsidRPr="00854908">
        <w:rPr>
          <w:rFonts w:ascii="Aptos" w:eastAsia="Meiryo UI" w:hAnsi="Aptos" w:cs="Arial"/>
        </w:rPr>
        <w:t>/gallons)</w:t>
      </w:r>
    </w:p>
    <w:p w14:paraId="3EBD522B" w14:textId="77777777" w:rsidR="00774236" w:rsidRPr="00854908" w:rsidRDefault="00774236" w:rsidP="00774236">
      <w:pPr>
        <w:pStyle w:val="ListParagraph"/>
        <w:numPr>
          <w:ilvl w:val="0"/>
          <w:numId w:val="1"/>
        </w:numPr>
        <w:rPr>
          <w:rFonts w:ascii="Aptos" w:eastAsia="Meiryo UI" w:hAnsi="Aptos" w:cs="Arial"/>
        </w:rPr>
      </w:pPr>
      <w:r w:rsidRPr="00854908">
        <w:rPr>
          <w:rFonts w:ascii="Aptos" w:eastAsia="Meiryo UI" w:hAnsi="Aptos" w:cs="Arial"/>
        </w:rPr>
        <w:t>Energy usage (kWh)</w:t>
      </w:r>
    </w:p>
    <w:p w14:paraId="0006056E" w14:textId="77777777" w:rsidR="00774236" w:rsidRPr="00854908" w:rsidRDefault="00774236" w:rsidP="00774236">
      <w:pPr>
        <w:pStyle w:val="ListParagraph"/>
        <w:numPr>
          <w:ilvl w:val="0"/>
          <w:numId w:val="1"/>
        </w:numPr>
        <w:rPr>
          <w:rFonts w:ascii="Aptos" w:eastAsia="Meiryo UI" w:hAnsi="Aptos" w:cs="Arial"/>
        </w:rPr>
      </w:pPr>
      <w:r w:rsidRPr="00854908">
        <w:rPr>
          <w:rFonts w:ascii="Aptos" w:eastAsia="Meiryo UI" w:hAnsi="Aptos" w:cs="Arial"/>
        </w:rPr>
        <w:t>Purchased steel (mini-mill and integrated mills) (tons)</w:t>
      </w:r>
    </w:p>
    <w:p w14:paraId="020AFD38" w14:textId="77777777" w:rsidR="00774236" w:rsidRPr="00854908" w:rsidRDefault="00774236" w:rsidP="00774236">
      <w:pPr>
        <w:rPr>
          <w:rFonts w:ascii="Aptos" w:eastAsia="Meiryo UI" w:hAnsi="Aptos" w:cs="Arial"/>
        </w:rPr>
      </w:pPr>
      <w:r w:rsidRPr="00854908">
        <w:rPr>
          <w:rFonts w:ascii="Aptos" w:eastAsia="Meiryo UI" w:hAnsi="Aptos" w:cs="Arial"/>
        </w:rPr>
        <w:t xml:space="preserve">Each of these aligns with one aspect of </w:t>
      </w:r>
      <w:proofErr w:type="spellStart"/>
      <w:r w:rsidRPr="00854908">
        <w:rPr>
          <w:rFonts w:ascii="Aptos" w:eastAsia="Meiryo UI" w:hAnsi="Aptos" w:cs="Arial"/>
        </w:rPr>
        <w:t>SteelSummit’s</w:t>
      </w:r>
      <w:proofErr w:type="spellEnd"/>
      <w:r w:rsidRPr="00854908">
        <w:rPr>
          <w:rFonts w:ascii="Aptos" w:eastAsia="Meiryo UI" w:hAnsi="Aptos" w:cs="Arial"/>
        </w:rPr>
        <w:t xml:space="preserve"> sustainability goals or another. Natural gas/propane use and energy usage in particular both equate to Scope 1 and Scope 2 emissions, respectively. Purchased steel tons are a main contributor to Scope 3 emissions as well. </w:t>
      </w:r>
    </w:p>
    <w:p w14:paraId="7AA0FFEB" w14:textId="77777777" w:rsidR="00774236" w:rsidRPr="00854908" w:rsidRDefault="00774236" w:rsidP="000A7E63">
      <w:pPr>
        <w:pStyle w:val="Heading2"/>
        <w:spacing w:before="360"/>
        <w:rPr>
          <w:rFonts w:ascii="Aptos" w:eastAsia="Meiryo UI" w:hAnsi="Aptos" w:cs="Arial"/>
        </w:rPr>
      </w:pPr>
      <w:r w:rsidRPr="00854908">
        <w:rPr>
          <w:rFonts w:ascii="Aptos" w:eastAsia="Meiryo UI" w:hAnsi="Aptos" w:cs="Arial"/>
        </w:rPr>
        <w:t>Scope 1, 2, and 3 Emissions</w:t>
      </w:r>
    </w:p>
    <w:p w14:paraId="4AD332E2" w14:textId="5DA16500" w:rsidR="00B653C4" w:rsidRDefault="00774236" w:rsidP="00774236">
      <w:pPr>
        <w:rPr>
          <w:rFonts w:ascii="Aptos" w:eastAsia="Meiryo UI" w:hAnsi="Aptos" w:cs="Arial"/>
        </w:rPr>
      </w:pPr>
      <w:r w:rsidRPr="00854908">
        <w:rPr>
          <w:rFonts w:ascii="Aptos" w:eastAsia="Meiryo UI" w:hAnsi="Aptos" w:cs="Arial"/>
        </w:rPr>
        <w:t xml:space="preserve">SteelSummit completes a company-wide annual GHG emissions inventory for Scope 1, 2, and 3. </w:t>
      </w:r>
      <w:r w:rsidR="00C71900">
        <w:rPr>
          <w:rFonts w:ascii="Aptos" w:eastAsia="Meiryo UI" w:hAnsi="Aptos" w:cs="Arial"/>
        </w:rPr>
        <w:t xml:space="preserve">Emissions calculations adhere to the standards </w:t>
      </w:r>
      <w:r w:rsidR="00AA5761">
        <w:rPr>
          <w:rFonts w:ascii="Aptos" w:eastAsia="Meiryo UI" w:hAnsi="Aptos" w:cs="Arial"/>
        </w:rPr>
        <w:t xml:space="preserve">and requirements </w:t>
      </w:r>
      <w:r w:rsidR="00C71900">
        <w:rPr>
          <w:rFonts w:ascii="Aptos" w:eastAsia="Meiryo UI" w:hAnsi="Aptos" w:cs="Arial"/>
        </w:rPr>
        <w:t xml:space="preserve">set forth by the Greenhouse Gas (GHG) Protocol. </w:t>
      </w:r>
      <w:r w:rsidR="00D7631C">
        <w:rPr>
          <w:rFonts w:ascii="Aptos" w:eastAsia="Meiryo UI" w:hAnsi="Aptos" w:cs="Arial"/>
        </w:rPr>
        <w:t>As of 2024, our emissions are not audited or verified by a 3</w:t>
      </w:r>
      <w:r w:rsidR="00D7631C" w:rsidRPr="00D7631C">
        <w:rPr>
          <w:rFonts w:ascii="Aptos" w:eastAsia="Meiryo UI" w:hAnsi="Aptos" w:cs="Arial"/>
          <w:vertAlign w:val="superscript"/>
        </w:rPr>
        <w:t>rd</w:t>
      </w:r>
      <w:r w:rsidR="00D7631C">
        <w:rPr>
          <w:rFonts w:ascii="Aptos" w:eastAsia="Meiryo UI" w:hAnsi="Aptos" w:cs="Arial"/>
        </w:rPr>
        <w:t xml:space="preserve"> part</w:t>
      </w:r>
      <w:r w:rsidR="00680155">
        <w:rPr>
          <w:rFonts w:ascii="Aptos" w:eastAsia="Meiryo UI" w:hAnsi="Aptos" w:cs="Arial"/>
        </w:rPr>
        <w:t>y</w:t>
      </w:r>
      <w:r w:rsidR="00D7631C">
        <w:rPr>
          <w:rFonts w:ascii="Aptos" w:eastAsia="Meiryo UI" w:hAnsi="Aptos" w:cs="Arial"/>
        </w:rPr>
        <w:t xml:space="preserve">. </w:t>
      </w:r>
    </w:p>
    <w:p w14:paraId="5DA844F2" w14:textId="2820323E" w:rsidR="0016419B" w:rsidRDefault="00774236" w:rsidP="00774236">
      <w:pPr>
        <w:rPr>
          <w:rFonts w:ascii="Aptos" w:eastAsia="Meiryo UI" w:hAnsi="Aptos" w:cs="Arial"/>
        </w:rPr>
      </w:pPr>
      <w:r w:rsidRPr="00854908">
        <w:rPr>
          <w:rFonts w:ascii="Aptos" w:eastAsia="Meiryo UI" w:hAnsi="Aptos" w:cs="Arial"/>
        </w:rPr>
        <w:t xml:space="preserve">This process began in FY2019 with Scope 1 and 2 emissions tracking, while Scope 3 emissions tracking began in FY2022 with the </w:t>
      </w:r>
      <w:hyperlink r:id="rId14" w:history="1">
        <w:r w:rsidRPr="00854908">
          <w:rPr>
            <w:rStyle w:val="Hyperlink"/>
            <w:rFonts w:ascii="Aptos" w:eastAsia="Meiryo UI" w:hAnsi="Aptos" w:cs="Arial"/>
          </w:rPr>
          <w:t>operational control</w:t>
        </w:r>
      </w:hyperlink>
      <w:r w:rsidRPr="00854908">
        <w:rPr>
          <w:rFonts w:ascii="Aptos" w:eastAsia="Meiryo UI" w:hAnsi="Aptos" w:cs="Arial"/>
        </w:rPr>
        <w:t xml:space="preserve"> organizational boundary approach. </w:t>
      </w:r>
      <w:r w:rsidRPr="00854908">
        <w:rPr>
          <w:rFonts w:ascii="Aptos" w:eastAsia="Meiryo UI" w:hAnsi="Aptos" w:cs="Arial"/>
        </w:rPr>
        <w:lastRenderedPageBreak/>
        <w:t xml:space="preserve">Tracking emissions annually allows SteelSummit to monitor how well programs that have been implemented are reducing emissions over time. The base year for target setting for Scope 1 and 2 is FY2020 while the base year for Scope 3 target setting is FY2022. SteelSummit accounts for each of the </w:t>
      </w:r>
      <w:hyperlink r:id="rId15" w:anchor="supply" w:history="1">
        <w:r w:rsidRPr="00854908">
          <w:rPr>
            <w:rStyle w:val="Hyperlink"/>
            <w:rFonts w:ascii="Aptos" w:eastAsia="Meiryo UI" w:hAnsi="Aptos" w:cs="Arial"/>
          </w:rPr>
          <w:t>15 categories in Scope 3</w:t>
        </w:r>
      </w:hyperlink>
      <w:r w:rsidRPr="00854908">
        <w:rPr>
          <w:rFonts w:ascii="Aptos" w:eastAsia="Meiryo UI" w:hAnsi="Aptos" w:cs="Arial"/>
        </w:rPr>
        <w:t xml:space="preserve"> that are within its operational control and apply to its business activities. Below is a summary table that outlines </w:t>
      </w:r>
      <w:proofErr w:type="spellStart"/>
      <w:r w:rsidRPr="00854908">
        <w:rPr>
          <w:rFonts w:ascii="Aptos" w:eastAsia="Meiryo UI" w:hAnsi="Aptos" w:cs="Arial"/>
        </w:rPr>
        <w:t>SteelSummit’s</w:t>
      </w:r>
      <w:proofErr w:type="spellEnd"/>
      <w:r w:rsidRPr="00854908">
        <w:rPr>
          <w:rFonts w:ascii="Aptos" w:eastAsia="Meiryo UI" w:hAnsi="Aptos" w:cs="Arial"/>
        </w:rPr>
        <w:t xml:space="preserve"> base year emissions, target year emissions, and necessary percent reduction as required by SBTi. </w:t>
      </w:r>
    </w:p>
    <w:tbl>
      <w:tblPr>
        <w:tblStyle w:val="TableGrid1"/>
        <w:tblW w:w="0" w:type="auto"/>
        <w:jc w:val="center"/>
        <w:tblLook w:val="04A0" w:firstRow="1" w:lastRow="0" w:firstColumn="1" w:lastColumn="0" w:noHBand="0" w:noVBand="1"/>
      </w:tblPr>
      <w:tblGrid>
        <w:gridCol w:w="1944"/>
        <w:gridCol w:w="2620"/>
        <w:gridCol w:w="2547"/>
        <w:gridCol w:w="1905"/>
      </w:tblGrid>
      <w:tr w:rsidR="00774236" w:rsidRPr="00854908" w14:paraId="0D5084A3" w14:textId="77777777" w:rsidTr="5786BA95">
        <w:trPr>
          <w:jc w:val="center"/>
        </w:trPr>
        <w:tc>
          <w:tcPr>
            <w:tcW w:w="1944" w:type="dxa"/>
            <w:tcBorders>
              <w:top w:val="single" w:sz="4" w:space="0" w:color="auto"/>
              <w:left w:val="single" w:sz="4" w:space="0" w:color="auto"/>
              <w:bottom w:val="double" w:sz="4" w:space="0" w:color="auto"/>
            </w:tcBorders>
            <w:shd w:val="clear" w:color="auto" w:fill="D9D9D9" w:themeFill="background1" w:themeFillShade="D9"/>
            <w:vAlign w:val="center"/>
          </w:tcPr>
          <w:p w14:paraId="347C6FF6" w14:textId="77777777" w:rsidR="00774236" w:rsidRPr="00854908" w:rsidRDefault="00774236" w:rsidP="00466ACF">
            <w:pPr>
              <w:spacing w:before="120"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SCOPE</w:t>
            </w:r>
          </w:p>
        </w:tc>
        <w:tc>
          <w:tcPr>
            <w:tcW w:w="2620" w:type="dxa"/>
            <w:tcBorders>
              <w:top w:val="single" w:sz="4" w:space="0" w:color="auto"/>
              <w:bottom w:val="double" w:sz="4" w:space="0" w:color="auto"/>
            </w:tcBorders>
            <w:shd w:val="clear" w:color="auto" w:fill="D9D9D9" w:themeFill="background1" w:themeFillShade="D9"/>
            <w:vAlign w:val="center"/>
          </w:tcPr>
          <w:p w14:paraId="24DFFE25"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BASE YEAR EMISSIONS FY2020 (tCO2e)</w:t>
            </w:r>
          </w:p>
        </w:tc>
        <w:tc>
          <w:tcPr>
            <w:tcW w:w="2547" w:type="dxa"/>
            <w:tcBorders>
              <w:top w:val="single" w:sz="4" w:space="0" w:color="auto"/>
              <w:bottom w:val="double" w:sz="4" w:space="0" w:color="auto"/>
            </w:tcBorders>
            <w:shd w:val="clear" w:color="auto" w:fill="D9D9D9" w:themeFill="background1" w:themeFillShade="D9"/>
            <w:vAlign w:val="center"/>
          </w:tcPr>
          <w:p w14:paraId="402599BF"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TARGET YEAR EMISSIONS</w:t>
            </w:r>
          </w:p>
          <w:p w14:paraId="7D881916"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FY2030 (tCO2e)</w:t>
            </w:r>
          </w:p>
        </w:tc>
        <w:tc>
          <w:tcPr>
            <w:tcW w:w="1905" w:type="dxa"/>
            <w:tcBorders>
              <w:top w:val="single" w:sz="4" w:space="0" w:color="auto"/>
              <w:bottom w:val="double" w:sz="4" w:space="0" w:color="auto"/>
              <w:right w:val="single" w:sz="4" w:space="0" w:color="auto"/>
            </w:tcBorders>
            <w:shd w:val="clear" w:color="auto" w:fill="D9D9D9" w:themeFill="background1" w:themeFillShade="D9"/>
            <w:vAlign w:val="center"/>
          </w:tcPr>
          <w:p w14:paraId="693765FD"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 REDUCTION</w:t>
            </w:r>
          </w:p>
        </w:tc>
      </w:tr>
      <w:tr w:rsidR="00774236" w:rsidRPr="00854908" w14:paraId="55C472EB" w14:textId="77777777" w:rsidTr="5786BA95">
        <w:trPr>
          <w:jc w:val="center"/>
        </w:trPr>
        <w:tc>
          <w:tcPr>
            <w:tcW w:w="1944" w:type="dxa"/>
            <w:tcBorders>
              <w:top w:val="double" w:sz="4" w:space="0" w:color="auto"/>
              <w:left w:val="single" w:sz="4" w:space="0" w:color="auto"/>
            </w:tcBorders>
            <w:shd w:val="clear" w:color="auto" w:fill="D9D9D9" w:themeFill="background1" w:themeFillShade="D9"/>
            <w:vAlign w:val="center"/>
          </w:tcPr>
          <w:p w14:paraId="64FD2001"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Scope 1</w:t>
            </w:r>
          </w:p>
        </w:tc>
        <w:tc>
          <w:tcPr>
            <w:tcW w:w="2620" w:type="dxa"/>
            <w:tcBorders>
              <w:top w:val="double" w:sz="4" w:space="0" w:color="auto"/>
            </w:tcBorders>
            <w:vAlign w:val="center"/>
          </w:tcPr>
          <w:p w14:paraId="5DC1A871" w14:textId="744992F5" w:rsidR="00774236" w:rsidRPr="00854908" w:rsidRDefault="00774236" w:rsidP="5786BA95">
            <w:pPr>
              <w:spacing w:line="276" w:lineRule="auto"/>
              <w:contextualSpacing/>
              <w:jc w:val="center"/>
              <w:rPr>
                <w:rFonts w:ascii="Aptos" w:eastAsia="Meiryo UI" w:hAnsi="Aptos" w:cs="Arial"/>
                <w:b/>
                <w:bCs/>
                <w:sz w:val="24"/>
                <w:szCs w:val="24"/>
              </w:rPr>
            </w:pPr>
            <w:r w:rsidRPr="5786BA95">
              <w:rPr>
                <w:rFonts w:ascii="Aptos" w:eastAsia="Meiryo UI" w:hAnsi="Aptos" w:cs="Arial"/>
                <w:b/>
                <w:bCs/>
                <w:sz w:val="24"/>
                <w:szCs w:val="24"/>
              </w:rPr>
              <w:t>74</w:t>
            </w:r>
            <w:r w:rsidR="16D3BEC9" w:rsidRPr="5786BA95">
              <w:rPr>
                <w:rFonts w:ascii="Aptos" w:eastAsia="Meiryo UI" w:hAnsi="Aptos" w:cs="Arial"/>
                <w:b/>
                <w:bCs/>
                <w:sz w:val="24"/>
                <w:szCs w:val="24"/>
              </w:rPr>
              <w:t>5</w:t>
            </w:r>
          </w:p>
        </w:tc>
        <w:tc>
          <w:tcPr>
            <w:tcW w:w="2547" w:type="dxa"/>
            <w:tcBorders>
              <w:top w:val="double" w:sz="4" w:space="0" w:color="auto"/>
            </w:tcBorders>
            <w:vAlign w:val="center"/>
          </w:tcPr>
          <w:p w14:paraId="6967EE56" w14:textId="21D94878" w:rsidR="00774236" w:rsidRPr="00854908" w:rsidRDefault="00774236" w:rsidP="5786BA95">
            <w:pPr>
              <w:spacing w:line="276" w:lineRule="auto"/>
              <w:contextualSpacing/>
              <w:jc w:val="center"/>
              <w:rPr>
                <w:rFonts w:ascii="Aptos" w:eastAsia="Meiryo UI" w:hAnsi="Aptos" w:cs="Arial"/>
                <w:b/>
                <w:bCs/>
                <w:sz w:val="24"/>
                <w:szCs w:val="24"/>
              </w:rPr>
            </w:pPr>
            <w:r w:rsidRPr="5786BA95">
              <w:rPr>
                <w:rFonts w:ascii="Aptos" w:eastAsia="Meiryo UI" w:hAnsi="Aptos" w:cs="Arial"/>
                <w:b/>
                <w:bCs/>
                <w:sz w:val="24"/>
                <w:szCs w:val="24"/>
              </w:rPr>
              <w:t>43</w:t>
            </w:r>
            <w:r w:rsidR="1BCB834A" w:rsidRPr="5786BA95">
              <w:rPr>
                <w:rFonts w:ascii="Aptos" w:eastAsia="Meiryo UI" w:hAnsi="Aptos" w:cs="Arial"/>
                <w:b/>
                <w:bCs/>
                <w:sz w:val="24"/>
                <w:szCs w:val="24"/>
              </w:rPr>
              <w:t>2</w:t>
            </w:r>
          </w:p>
        </w:tc>
        <w:tc>
          <w:tcPr>
            <w:tcW w:w="1905" w:type="dxa"/>
            <w:tcBorders>
              <w:top w:val="double" w:sz="4" w:space="0" w:color="auto"/>
              <w:right w:val="single" w:sz="4" w:space="0" w:color="auto"/>
            </w:tcBorders>
            <w:vAlign w:val="center"/>
          </w:tcPr>
          <w:p w14:paraId="532F39AD" w14:textId="77777777" w:rsidR="00774236" w:rsidRPr="00854908" w:rsidRDefault="00774236" w:rsidP="00466ACF">
            <w:pPr>
              <w:spacing w:line="276" w:lineRule="auto"/>
              <w:contextualSpacing/>
              <w:jc w:val="center"/>
              <w:rPr>
                <w:rFonts w:ascii="Aptos" w:eastAsia="Meiryo UI" w:hAnsi="Aptos" w:cs="Arial"/>
                <w:b/>
                <w:sz w:val="24"/>
                <w:szCs w:val="24"/>
              </w:rPr>
            </w:pPr>
            <w:r w:rsidRPr="00854908">
              <w:rPr>
                <w:rFonts w:ascii="Aptos" w:eastAsia="Meiryo UI" w:hAnsi="Aptos" w:cs="Arial"/>
                <w:b/>
                <w:sz w:val="24"/>
                <w:szCs w:val="24"/>
              </w:rPr>
              <w:t>42.0%</w:t>
            </w:r>
          </w:p>
        </w:tc>
      </w:tr>
      <w:tr w:rsidR="00774236" w:rsidRPr="00854908" w14:paraId="39FB22E4" w14:textId="77777777" w:rsidTr="5786BA95">
        <w:trPr>
          <w:jc w:val="center"/>
        </w:trPr>
        <w:tc>
          <w:tcPr>
            <w:tcW w:w="1944" w:type="dxa"/>
            <w:tcBorders>
              <w:left w:val="single" w:sz="4" w:space="0" w:color="auto"/>
            </w:tcBorders>
            <w:shd w:val="clear" w:color="auto" w:fill="D9D9D9" w:themeFill="background1" w:themeFillShade="D9"/>
            <w:vAlign w:val="center"/>
          </w:tcPr>
          <w:p w14:paraId="6C798FBD"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Scope 2</w:t>
            </w:r>
          </w:p>
        </w:tc>
        <w:tc>
          <w:tcPr>
            <w:tcW w:w="2620" w:type="dxa"/>
            <w:vAlign w:val="center"/>
          </w:tcPr>
          <w:p w14:paraId="0E8C34DB" w14:textId="77777777" w:rsidR="00774236" w:rsidRPr="00854908" w:rsidRDefault="00774236" w:rsidP="00466ACF">
            <w:pPr>
              <w:spacing w:line="276" w:lineRule="auto"/>
              <w:contextualSpacing/>
              <w:jc w:val="center"/>
              <w:rPr>
                <w:rFonts w:ascii="Aptos" w:eastAsia="Meiryo UI" w:hAnsi="Aptos" w:cs="Arial"/>
                <w:b/>
                <w:sz w:val="24"/>
                <w:szCs w:val="24"/>
              </w:rPr>
            </w:pPr>
            <w:r w:rsidRPr="00854908">
              <w:rPr>
                <w:rFonts w:ascii="Aptos" w:eastAsia="Meiryo UI" w:hAnsi="Aptos" w:cs="Arial"/>
                <w:b/>
                <w:sz w:val="24"/>
                <w:szCs w:val="24"/>
              </w:rPr>
              <w:t>1,626</w:t>
            </w:r>
          </w:p>
        </w:tc>
        <w:tc>
          <w:tcPr>
            <w:tcW w:w="2547" w:type="dxa"/>
            <w:vAlign w:val="center"/>
          </w:tcPr>
          <w:p w14:paraId="33D47E51" w14:textId="77777777" w:rsidR="00774236" w:rsidRPr="00854908" w:rsidRDefault="00774236" w:rsidP="00466ACF">
            <w:pPr>
              <w:spacing w:line="276" w:lineRule="auto"/>
              <w:contextualSpacing/>
              <w:jc w:val="center"/>
              <w:rPr>
                <w:rFonts w:ascii="Aptos" w:eastAsia="Meiryo UI" w:hAnsi="Aptos" w:cs="Arial"/>
                <w:b/>
                <w:sz w:val="24"/>
                <w:szCs w:val="24"/>
              </w:rPr>
            </w:pPr>
            <w:r w:rsidRPr="00854908">
              <w:rPr>
                <w:rFonts w:ascii="Aptos" w:eastAsia="Meiryo UI" w:hAnsi="Aptos" w:cs="Arial"/>
                <w:b/>
                <w:sz w:val="24"/>
                <w:szCs w:val="24"/>
              </w:rPr>
              <w:t>943</w:t>
            </w:r>
          </w:p>
        </w:tc>
        <w:tc>
          <w:tcPr>
            <w:tcW w:w="1905" w:type="dxa"/>
            <w:tcBorders>
              <w:right w:val="single" w:sz="4" w:space="0" w:color="auto"/>
            </w:tcBorders>
            <w:vAlign w:val="center"/>
          </w:tcPr>
          <w:p w14:paraId="79FEAB36" w14:textId="77777777" w:rsidR="00774236" w:rsidRPr="00854908" w:rsidRDefault="00774236" w:rsidP="00466ACF">
            <w:pPr>
              <w:spacing w:line="276" w:lineRule="auto"/>
              <w:contextualSpacing/>
              <w:jc w:val="center"/>
              <w:rPr>
                <w:rFonts w:ascii="Aptos" w:eastAsia="Meiryo UI" w:hAnsi="Aptos" w:cs="Arial"/>
                <w:b/>
                <w:sz w:val="24"/>
                <w:szCs w:val="24"/>
              </w:rPr>
            </w:pPr>
            <w:r w:rsidRPr="00854908">
              <w:rPr>
                <w:rFonts w:ascii="Aptos" w:eastAsia="Meiryo UI" w:hAnsi="Aptos" w:cs="Arial"/>
                <w:b/>
                <w:sz w:val="24"/>
                <w:szCs w:val="24"/>
              </w:rPr>
              <w:t>42.0%</w:t>
            </w:r>
          </w:p>
        </w:tc>
      </w:tr>
      <w:tr w:rsidR="00774236" w:rsidRPr="00854908" w14:paraId="684B3FAC" w14:textId="77777777" w:rsidTr="5786BA95">
        <w:trPr>
          <w:jc w:val="center"/>
        </w:trPr>
        <w:tc>
          <w:tcPr>
            <w:tcW w:w="1944" w:type="dxa"/>
            <w:tcBorders>
              <w:left w:val="single" w:sz="4" w:space="0" w:color="auto"/>
            </w:tcBorders>
            <w:shd w:val="clear" w:color="auto" w:fill="D9D9D9" w:themeFill="background1" w:themeFillShade="D9"/>
            <w:vAlign w:val="center"/>
          </w:tcPr>
          <w:p w14:paraId="72764A6F"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Scope 1 &amp; 2</w:t>
            </w:r>
          </w:p>
        </w:tc>
        <w:tc>
          <w:tcPr>
            <w:tcW w:w="2620" w:type="dxa"/>
            <w:vAlign w:val="center"/>
          </w:tcPr>
          <w:p w14:paraId="3F127AB6" w14:textId="033DEE23" w:rsidR="00774236" w:rsidRPr="00854908" w:rsidRDefault="00774236" w:rsidP="5786BA95">
            <w:pPr>
              <w:spacing w:line="276" w:lineRule="auto"/>
              <w:contextualSpacing/>
              <w:jc w:val="center"/>
              <w:rPr>
                <w:rFonts w:ascii="Aptos" w:eastAsia="Meiryo UI" w:hAnsi="Aptos" w:cs="Arial"/>
                <w:b/>
                <w:bCs/>
                <w:sz w:val="24"/>
                <w:szCs w:val="24"/>
              </w:rPr>
            </w:pPr>
            <w:r w:rsidRPr="5786BA95">
              <w:rPr>
                <w:rFonts w:ascii="Aptos" w:eastAsia="Meiryo UI" w:hAnsi="Aptos" w:cs="Arial"/>
                <w:b/>
                <w:bCs/>
                <w:sz w:val="24"/>
                <w:szCs w:val="24"/>
              </w:rPr>
              <w:t>2,37</w:t>
            </w:r>
            <w:r w:rsidR="30783EDD" w:rsidRPr="5786BA95">
              <w:rPr>
                <w:rFonts w:ascii="Aptos" w:eastAsia="Meiryo UI" w:hAnsi="Aptos" w:cs="Arial"/>
                <w:b/>
                <w:bCs/>
                <w:sz w:val="24"/>
                <w:szCs w:val="24"/>
              </w:rPr>
              <w:t>1</w:t>
            </w:r>
          </w:p>
        </w:tc>
        <w:tc>
          <w:tcPr>
            <w:tcW w:w="2547" w:type="dxa"/>
            <w:vAlign w:val="center"/>
          </w:tcPr>
          <w:p w14:paraId="42FA71A8" w14:textId="7159EECB" w:rsidR="00774236" w:rsidRPr="00854908" w:rsidRDefault="00774236" w:rsidP="5786BA95">
            <w:pPr>
              <w:spacing w:line="276" w:lineRule="auto"/>
              <w:contextualSpacing/>
              <w:jc w:val="center"/>
              <w:rPr>
                <w:rFonts w:ascii="Aptos" w:eastAsia="Meiryo UI" w:hAnsi="Aptos" w:cs="Arial"/>
                <w:b/>
                <w:bCs/>
                <w:sz w:val="24"/>
                <w:szCs w:val="24"/>
              </w:rPr>
            </w:pPr>
            <w:r w:rsidRPr="5786BA95">
              <w:rPr>
                <w:rFonts w:ascii="Aptos" w:eastAsia="Meiryo UI" w:hAnsi="Aptos" w:cs="Arial"/>
                <w:b/>
                <w:bCs/>
                <w:sz w:val="24"/>
                <w:szCs w:val="24"/>
              </w:rPr>
              <w:t>1,37</w:t>
            </w:r>
            <w:r w:rsidR="4ED92925" w:rsidRPr="5786BA95">
              <w:rPr>
                <w:rFonts w:ascii="Aptos" w:eastAsia="Meiryo UI" w:hAnsi="Aptos" w:cs="Arial"/>
                <w:b/>
                <w:bCs/>
                <w:sz w:val="24"/>
                <w:szCs w:val="24"/>
              </w:rPr>
              <w:t>5</w:t>
            </w:r>
          </w:p>
        </w:tc>
        <w:tc>
          <w:tcPr>
            <w:tcW w:w="1905" w:type="dxa"/>
            <w:tcBorders>
              <w:right w:val="single" w:sz="4" w:space="0" w:color="auto"/>
            </w:tcBorders>
            <w:vAlign w:val="center"/>
          </w:tcPr>
          <w:p w14:paraId="1CE71632" w14:textId="77777777" w:rsidR="00774236" w:rsidRPr="00854908" w:rsidRDefault="00774236" w:rsidP="00466ACF">
            <w:pPr>
              <w:spacing w:line="276" w:lineRule="auto"/>
              <w:contextualSpacing/>
              <w:jc w:val="center"/>
              <w:rPr>
                <w:rFonts w:ascii="Aptos" w:eastAsia="Meiryo UI" w:hAnsi="Aptos" w:cs="Arial"/>
                <w:b/>
                <w:sz w:val="24"/>
                <w:szCs w:val="24"/>
              </w:rPr>
            </w:pPr>
            <w:r w:rsidRPr="00854908">
              <w:rPr>
                <w:rFonts w:ascii="Aptos" w:eastAsia="Meiryo UI" w:hAnsi="Aptos" w:cs="Arial"/>
                <w:b/>
                <w:sz w:val="24"/>
                <w:szCs w:val="24"/>
              </w:rPr>
              <w:t>42.0%</w:t>
            </w:r>
          </w:p>
        </w:tc>
      </w:tr>
      <w:tr w:rsidR="00774236" w:rsidRPr="00854908" w14:paraId="2CE76DD0" w14:textId="77777777" w:rsidTr="5786BA95">
        <w:trPr>
          <w:jc w:val="center"/>
        </w:trPr>
        <w:tc>
          <w:tcPr>
            <w:tcW w:w="1944" w:type="dxa"/>
            <w:tcBorders>
              <w:left w:val="single" w:sz="4" w:space="0" w:color="auto"/>
            </w:tcBorders>
            <w:shd w:val="clear" w:color="auto" w:fill="D9D9D9" w:themeFill="background1" w:themeFillShade="D9"/>
            <w:vAlign w:val="center"/>
          </w:tcPr>
          <w:p w14:paraId="29D69C93"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Scope 3</w:t>
            </w:r>
          </w:p>
        </w:tc>
        <w:tc>
          <w:tcPr>
            <w:tcW w:w="2620" w:type="dxa"/>
            <w:shd w:val="clear" w:color="auto" w:fill="D9D9D9" w:themeFill="background1" w:themeFillShade="D9"/>
            <w:vAlign w:val="center"/>
          </w:tcPr>
          <w:p w14:paraId="29418D3E"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BASE YEAR EMISSIONS FY2022 (tCO2e)</w:t>
            </w:r>
          </w:p>
        </w:tc>
        <w:tc>
          <w:tcPr>
            <w:tcW w:w="2547" w:type="dxa"/>
            <w:shd w:val="clear" w:color="auto" w:fill="D9D9D9" w:themeFill="background1" w:themeFillShade="D9"/>
            <w:vAlign w:val="center"/>
          </w:tcPr>
          <w:p w14:paraId="52D45532"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TARGET YEAR EMISSIONS FY2032 (tCO2e)</w:t>
            </w:r>
          </w:p>
        </w:tc>
        <w:tc>
          <w:tcPr>
            <w:tcW w:w="1905" w:type="dxa"/>
            <w:tcBorders>
              <w:right w:val="single" w:sz="4" w:space="0" w:color="auto"/>
            </w:tcBorders>
            <w:shd w:val="clear" w:color="auto" w:fill="D9D9D9" w:themeFill="background1" w:themeFillShade="D9"/>
            <w:vAlign w:val="center"/>
          </w:tcPr>
          <w:p w14:paraId="36D5388E"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 REDUCTION</w:t>
            </w:r>
          </w:p>
        </w:tc>
      </w:tr>
      <w:tr w:rsidR="00774236" w:rsidRPr="00854908" w14:paraId="4C01C849" w14:textId="77777777" w:rsidTr="5786BA95">
        <w:trPr>
          <w:jc w:val="center"/>
        </w:trPr>
        <w:tc>
          <w:tcPr>
            <w:tcW w:w="1944" w:type="dxa"/>
            <w:tcBorders>
              <w:left w:val="single" w:sz="4" w:space="0" w:color="auto"/>
              <w:bottom w:val="single" w:sz="4" w:space="0" w:color="auto"/>
            </w:tcBorders>
            <w:shd w:val="clear" w:color="auto" w:fill="D9D9D9" w:themeFill="background1" w:themeFillShade="D9"/>
            <w:vAlign w:val="center"/>
          </w:tcPr>
          <w:p w14:paraId="456C9051" w14:textId="77777777" w:rsidR="00774236" w:rsidRPr="00854908" w:rsidRDefault="00774236" w:rsidP="00466ACF">
            <w:pPr>
              <w:spacing w:line="276" w:lineRule="auto"/>
              <w:contextualSpacing/>
              <w:jc w:val="center"/>
              <w:rPr>
                <w:rFonts w:ascii="Aptos" w:eastAsia="Meiryo UI" w:hAnsi="Aptos" w:cs="Arial"/>
                <w:b/>
                <w:color w:val="4F81BD" w:themeColor="accent1"/>
                <w:sz w:val="24"/>
                <w:szCs w:val="24"/>
              </w:rPr>
            </w:pPr>
            <w:r w:rsidRPr="00854908">
              <w:rPr>
                <w:rFonts w:ascii="Aptos" w:eastAsia="Meiryo UI" w:hAnsi="Aptos" w:cs="Arial"/>
                <w:b/>
                <w:color w:val="4F81BD" w:themeColor="accent1"/>
                <w:sz w:val="24"/>
                <w:szCs w:val="24"/>
              </w:rPr>
              <w:t xml:space="preserve">Scope 3 </w:t>
            </w:r>
          </w:p>
        </w:tc>
        <w:tc>
          <w:tcPr>
            <w:tcW w:w="2620" w:type="dxa"/>
            <w:tcBorders>
              <w:bottom w:val="single" w:sz="4" w:space="0" w:color="auto"/>
            </w:tcBorders>
            <w:shd w:val="clear" w:color="auto" w:fill="auto"/>
            <w:vAlign w:val="center"/>
          </w:tcPr>
          <w:p w14:paraId="70E93F67" w14:textId="3E12F4B8" w:rsidR="00774236" w:rsidRPr="00854908" w:rsidRDefault="001D64AD" w:rsidP="5786BA95">
            <w:pPr>
              <w:spacing w:line="276" w:lineRule="auto"/>
              <w:contextualSpacing/>
              <w:jc w:val="center"/>
              <w:rPr>
                <w:rFonts w:ascii="Aptos" w:eastAsia="Meiryo UI" w:hAnsi="Aptos" w:cs="Arial"/>
                <w:b/>
                <w:bCs/>
                <w:sz w:val="24"/>
                <w:szCs w:val="24"/>
              </w:rPr>
            </w:pPr>
            <w:r w:rsidRPr="5786BA95">
              <w:rPr>
                <w:rFonts w:ascii="Aptos" w:eastAsia="Meiryo UI" w:hAnsi="Aptos" w:cs="Arial"/>
                <w:b/>
                <w:bCs/>
                <w:sz w:val="24"/>
                <w:szCs w:val="24"/>
              </w:rPr>
              <w:t>1,435,</w:t>
            </w:r>
            <w:r w:rsidR="5FF6A201" w:rsidRPr="5786BA95">
              <w:rPr>
                <w:rFonts w:ascii="Aptos" w:eastAsia="Meiryo UI" w:hAnsi="Aptos" w:cs="Arial"/>
                <w:b/>
                <w:bCs/>
                <w:sz w:val="24"/>
                <w:szCs w:val="24"/>
              </w:rPr>
              <w:t>179.7</w:t>
            </w:r>
          </w:p>
        </w:tc>
        <w:tc>
          <w:tcPr>
            <w:tcW w:w="2547" w:type="dxa"/>
            <w:tcBorders>
              <w:bottom w:val="single" w:sz="4" w:space="0" w:color="auto"/>
            </w:tcBorders>
            <w:shd w:val="clear" w:color="auto" w:fill="auto"/>
            <w:vAlign w:val="center"/>
          </w:tcPr>
          <w:p w14:paraId="3F32334D" w14:textId="63FC4267" w:rsidR="00774236" w:rsidRPr="00854908" w:rsidRDefault="001D64AD" w:rsidP="5786BA95">
            <w:pPr>
              <w:spacing w:line="276" w:lineRule="auto"/>
              <w:jc w:val="center"/>
              <w:rPr>
                <w:rFonts w:ascii="Aptos" w:eastAsia="Meiryo UI" w:hAnsi="Aptos" w:cs="Arial"/>
                <w:b/>
                <w:bCs/>
                <w:sz w:val="24"/>
                <w:szCs w:val="24"/>
              </w:rPr>
            </w:pPr>
            <w:r w:rsidRPr="5786BA95">
              <w:rPr>
                <w:rFonts w:ascii="Aptos" w:eastAsia="Meiryo UI" w:hAnsi="Aptos" w:cs="Arial"/>
                <w:b/>
                <w:bCs/>
                <w:sz w:val="24"/>
                <w:szCs w:val="24"/>
              </w:rPr>
              <w:t>772,</w:t>
            </w:r>
            <w:r w:rsidR="3759AA45" w:rsidRPr="5786BA95">
              <w:rPr>
                <w:rFonts w:ascii="Aptos" w:eastAsia="Meiryo UI" w:hAnsi="Aptos" w:cs="Arial"/>
                <w:b/>
                <w:bCs/>
                <w:sz w:val="24"/>
                <w:szCs w:val="24"/>
              </w:rPr>
              <w:t>126.7</w:t>
            </w:r>
          </w:p>
        </w:tc>
        <w:tc>
          <w:tcPr>
            <w:tcW w:w="1905" w:type="dxa"/>
            <w:tcBorders>
              <w:bottom w:val="single" w:sz="4" w:space="0" w:color="auto"/>
              <w:right w:val="single" w:sz="4" w:space="0" w:color="auto"/>
            </w:tcBorders>
            <w:shd w:val="clear" w:color="auto" w:fill="auto"/>
            <w:vAlign w:val="center"/>
          </w:tcPr>
          <w:p w14:paraId="03E6E592" w14:textId="77777777" w:rsidR="00774236" w:rsidRPr="00854908" w:rsidRDefault="00774236" w:rsidP="001D64AD">
            <w:pPr>
              <w:pStyle w:val="ListParagraph"/>
              <w:spacing w:line="276" w:lineRule="auto"/>
              <w:ind w:left="516"/>
              <w:rPr>
                <w:rFonts w:ascii="Aptos" w:eastAsia="Meiryo UI" w:hAnsi="Aptos" w:cs="Arial"/>
                <w:b/>
                <w:sz w:val="24"/>
                <w:szCs w:val="24"/>
              </w:rPr>
            </w:pPr>
            <w:r w:rsidRPr="00854908">
              <w:rPr>
                <w:rFonts w:ascii="Aptos" w:eastAsia="Meiryo UI" w:hAnsi="Aptos" w:cs="Arial"/>
                <w:b/>
                <w:sz w:val="24"/>
                <w:szCs w:val="24"/>
              </w:rPr>
              <w:t>46.2%</w:t>
            </w:r>
          </w:p>
        </w:tc>
      </w:tr>
    </w:tbl>
    <w:p w14:paraId="7B6D85D6" w14:textId="7E84B804" w:rsidR="00774236" w:rsidRPr="00854908" w:rsidRDefault="00774236" w:rsidP="00774236">
      <w:pPr>
        <w:spacing w:before="240"/>
        <w:rPr>
          <w:rFonts w:ascii="Aptos" w:eastAsia="Meiryo UI" w:hAnsi="Aptos" w:cs="Arial"/>
        </w:rPr>
      </w:pPr>
      <w:r w:rsidRPr="00854908">
        <w:rPr>
          <w:rFonts w:ascii="Aptos" w:eastAsia="Meiryo UI" w:hAnsi="Aptos" w:cs="Arial"/>
        </w:rPr>
        <w:t xml:space="preserve">SteelSummit has already begun implementing emissions reduction initiatives for Scope 1 and 2. Scope 1 reductions include switching from propane-powered forklifts to electric and Scope 2 reductions include switching to all LED lightbulbs and purchasing </w:t>
      </w:r>
      <w:hyperlink r:id="rId16" w:history="1">
        <w:r w:rsidRPr="00854908">
          <w:rPr>
            <w:rStyle w:val="Hyperlink"/>
            <w:rFonts w:ascii="Aptos" w:eastAsia="Meiryo UI" w:hAnsi="Aptos" w:cs="Arial"/>
          </w:rPr>
          <w:t>Renewable Energy Certificates</w:t>
        </w:r>
      </w:hyperlink>
      <w:r w:rsidRPr="00854908">
        <w:rPr>
          <w:rFonts w:ascii="Aptos" w:eastAsia="Meiryo UI" w:hAnsi="Aptos" w:cs="Arial"/>
        </w:rPr>
        <w:t xml:space="preserve"> (RECs) to cover all of our purchased electricity for the next three years. </w:t>
      </w:r>
      <w:r w:rsidR="00BF5623">
        <w:rPr>
          <w:rFonts w:ascii="Aptos" w:eastAsia="Meiryo UI" w:hAnsi="Aptos" w:cs="Arial"/>
        </w:rPr>
        <w:t xml:space="preserve">SteelSummit does not sell or purchase carbon credits. </w:t>
      </w:r>
    </w:p>
    <w:p w14:paraId="33B46378" w14:textId="77777777" w:rsidR="00774236" w:rsidRPr="00854908" w:rsidRDefault="00774236" w:rsidP="000A7E63">
      <w:pPr>
        <w:pStyle w:val="Heading2"/>
        <w:spacing w:before="360"/>
        <w:rPr>
          <w:rFonts w:ascii="Aptos" w:eastAsia="Meiryo UI" w:hAnsi="Aptos" w:cs="Arial"/>
        </w:rPr>
      </w:pPr>
      <w:r w:rsidRPr="00854908">
        <w:rPr>
          <w:rFonts w:ascii="Aptos" w:eastAsia="Meiryo UI" w:hAnsi="Aptos" w:cs="Arial"/>
        </w:rPr>
        <w:t xml:space="preserve">Conclusion </w:t>
      </w:r>
    </w:p>
    <w:p w14:paraId="2A58CED5" w14:textId="703016CC" w:rsidR="00774236" w:rsidRPr="00854908" w:rsidRDefault="00774236" w:rsidP="00774236">
      <w:pPr>
        <w:rPr>
          <w:rFonts w:ascii="Aptos" w:eastAsia="Meiryo UI" w:hAnsi="Aptos" w:cs="Arial"/>
        </w:rPr>
      </w:pPr>
      <w:proofErr w:type="spellStart"/>
      <w:r w:rsidRPr="00854908">
        <w:rPr>
          <w:rFonts w:ascii="Aptos" w:eastAsia="Meiryo UI" w:hAnsi="Aptos" w:cs="Arial"/>
        </w:rPr>
        <w:t>SteelSummit’s</w:t>
      </w:r>
      <w:proofErr w:type="spellEnd"/>
      <w:r w:rsidRPr="00854908">
        <w:rPr>
          <w:rFonts w:ascii="Aptos" w:eastAsia="Meiryo UI" w:hAnsi="Aptos" w:cs="Arial"/>
        </w:rPr>
        <w:t xml:space="preserve"> Low Carbon Transition Plan acts as a roadmap for SteelSummit to become a leader in the metal processing industry for sustainability actions. </w:t>
      </w:r>
      <w:r w:rsidR="00272FDA">
        <w:rPr>
          <w:rFonts w:ascii="Aptos" w:eastAsia="Meiryo UI" w:hAnsi="Aptos" w:cs="Arial"/>
        </w:rPr>
        <w:t xml:space="preserve">This plan presents forward-looking goals that are subject to change depending on legal or business requirements. </w:t>
      </w:r>
      <w:r w:rsidRPr="00854908">
        <w:rPr>
          <w:rFonts w:ascii="Aptos" w:eastAsia="Meiryo UI" w:hAnsi="Aptos" w:cs="Arial"/>
        </w:rPr>
        <w:t xml:space="preserve">The details outlined in this plan function as a guide for SteelSummit to take note of its starting </w:t>
      </w:r>
      <w:r w:rsidR="00057D07" w:rsidRPr="00854908">
        <w:rPr>
          <w:rFonts w:ascii="Aptos" w:eastAsia="Meiryo UI" w:hAnsi="Aptos" w:cs="Arial"/>
        </w:rPr>
        <w:t>place,</w:t>
      </w:r>
      <w:r w:rsidRPr="00854908">
        <w:rPr>
          <w:rFonts w:ascii="Aptos" w:eastAsia="Meiryo UI" w:hAnsi="Aptos" w:cs="Arial"/>
        </w:rPr>
        <w:t xml:space="preserve"> set realistic and impactful goals</w:t>
      </w:r>
      <w:r w:rsidR="00A96BD6">
        <w:rPr>
          <w:rFonts w:ascii="Aptos" w:eastAsia="Meiryo UI" w:hAnsi="Aptos" w:cs="Arial"/>
        </w:rPr>
        <w:t>,</w:t>
      </w:r>
      <w:r w:rsidRPr="00854908">
        <w:rPr>
          <w:rFonts w:ascii="Aptos" w:eastAsia="Meiryo UI" w:hAnsi="Aptos" w:cs="Arial"/>
        </w:rPr>
        <w:t xml:space="preserve"> and draw out a roadmap of how to reach those goals most efficiently. Part of how SteelSummit plans to disclose its progress towards sustainability goals is by releasing an annual report at the end of each fiscal year with updates on advancements. This report will identify goals </w:t>
      </w:r>
      <w:r w:rsidR="00A96BD6" w:rsidRPr="00854908">
        <w:rPr>
          <w:rFonts w:ascii="Aptos" w:eastAsia="Meiryo UI" w:hAnsi="Aptos" w:cs="Arial"/>
        </w:rPr>
        <w:t>achieved</w:t>
      </w:r>
      <w:r w:rsidRPr="00854908">
        <w:rPr>
          <w:rFonts w:ascii="Aptos" w:eastAsia="Meiryo UI" w:hAnsi="Aptos" w:cs="Arial"/>
        </w:rPr>
        <w:t xml:space="preserve"> in the previous year, the actions taken to reach those goals, and any significant changes or updates that occurred throughout the year. These yearly reports will help ensure SteelSummit remains fully transparent with its sustainability while also helping to track progress and keep the initiative organized, dynamic, and robust.</w:t>
      </w:r>
    </w:p>
    <w:p w14:paraId="29713B7A" w14:textId="77777777" w:rsidR="003A050E" w:rsidRPr="00854908" w:rsidRDefault="003A050E" w:rsidP="003A050E">
      <w:pPr>
        <w:rPr>
          <w:rFonts w:ascii="Aptos" w:eastAsia="Meiryo UI" w:hAnsi="Aptos" w:cs="Arial"/>
        </w:rPr>
      </w:pPr>
    </w:p>
    <w:p w14:paraId="370ADB70" w14:textId="36911A73" w:rsidR="003A050E" w:rsidRPr="00854908" w:rsidRDefault="003A050E" w:rsidP="003A050E">
      <w:pPr>
        <w:tabs>
          <w:tab w:val="left" w:pos="4755"/>
        </w:tabs>
        <w:rPr>
          <w:rFonts w:ascii="Aptos" w:eastAsia="Meiryo UI" w:hAnsi="Aptos" w:cs="Arial"/>
        </w:rPr>
      </w:pPr>
      <w:r w:rsidRPr="00854908">
        <w:rPr>
          <w:rFonts w:ascii="Aptos" w:eastAsia="Meiryo UI" w:hAnsi="Aptos" w:cs="Arial"/>
        </w:rPr>
        <w:tab/>
      </w:r>
    </w:p>
    <w:sectPr w:rsidR="003A050E" w:rsidRPr="00854908" w:rsidSect="008F2AD9">
      <w:headerReference w:type="default" r:id="rId17"/>
      <w:foot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E491" w14:textId="77777777" w:rsidR="00CD1465" w:rsidRDefault="00CD1465" w:rsidP="00A170E1">
      <w:pPr>
        <w:spacing w:after="0" w:line="240" w:lineRule="auto"/>
      </w:pPr>
      <w:r>
        <w:separator/>
      </w:r>
    </w:p>
  </w:endnote>
  <w:endnote w:type="continuationSeparator" w:id="0">
    <w:p w14:paraId="4C42EDA3" w14:textId="77777777" w:rsidR="00CD1465" w:rsidRDefault="00CD1465" w:rsidP="00A1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75139"/>
      <w:docPartObj>
        <w:docPartGallery w:val="Page Numbers (Bottom of Page)"/>
        <w:docPartUnique/>
      </w:docPartObj>
    </w:sdtPr>
    <w:sdtEndPr>
      <w:rPr>
        <w:color w:val="7F7F7F" w:themeColor="background1" w:themeShade="7F"/>
        <w:spacing w:val="60"/>
      </w:rPr>
    </w:sdtEndPr>
    <w:sdtContent>
      <w:p w14:paraId="06AC29C2" w14:textId="77777777" w:rsidR="007937DD" w:rsidRDefault="007937DD" w:rsidP="007937DD">
        <w:pPr>
          <w:pStyle w:val="Footer"/>
          <w:pBdr>
            <w:top w:val="single" w:sz="4" w:space="1" w:color="D9D9D9" w:themeColor="background1" w:themeShade="D9"/>
          </w:pBdr>
          <w:jc w:val="right"/>
        </w:pPr>
        <w:r>
          <w:fldChar w:fldCharType="begin"/>
        </w:r>
        <w:r>
          <w:instrText xml:space="preserve"> PAGE   \* MERGEFORMAT </w:instrText>
        </w:r>
        <w:r>
          <w:fldChar w:fldCharType="separate"/>
        </w:r>
        <w:r>
          <w:t>2</w:t>
        </w:r>
        <w:r>
          <w:rPr>
            <w:noProof/>
          </w:rPr>
          <w:fldChar w:fldCharType="end"/>
        </w:r>
        <w:r>
          <w:t xml:space="preserve"> | </w:t>
        </w:r>
        <w:r>
          <w:rPr>
            <w:color w:val="7F7F7F" w:themeColor="background1" w:themeShade="7F"/>
            <w:spacing w:val="60"/>
          </w:rPr>
          <w:t>Page</w:t>
        </w:r>
      </w:p>
    </w:sdtContent>
  </w:sdt>
  <w:p w14:paraId="32CCA05B" w14:textId="77777777" w:rsidR="007937DD" w:rsidRDefault="00793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3B14" w14:textId="77777777" w:rsidR="00CD1465" w:rsidRDefault="00CD1465" w:rsidP="00A170E1">
      <w:pPr>
        <w:spacing w:after="0" w:line="240" w:lineRule="auto"/>
      </w:pPr>
      <w:r>
        <w:separator/>
      </w:r>
    </w:p>
  </w:footnote>
  <w:footnote w:type="continuationSeparator" w:id="0">
    <w:p w14:paraId="3C7168EB" w14:textId="77777777" w:rsidR="00CD1465" w:rsidRDefault="00CD1465" w:rsidP="00A1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F08D" w14:textId="5B3ABD67" w:rsidR="000611AB" w:rsidRDefault="000611AB" w:rsidP="000611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26705"/>
    <w:multiLevelType w:val="hybridMultilevel"/>
    <w:tmpl w:val="DF30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19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2sTS2NLQwMzM1MzNU0lEKTi0uzszPAykwqgUAHxBahiwAAAA="/>
  </w:docVars>
  <w:rsids>
    <w:rsidRoot w:val="00A170E1"/>
    <w:rsid w:val="00057D07"/>
    <w:rsid w:val="000611AB"/>
    <w:rsid w:val="000A7E63"/>
    <w:rsid w:val="000C5474"/>
    <w:rsid w:val="0016419B"/>
    <w:rsid w:val="001B0275"/>
    <w:rsid w:val="001D64AD"/>
    <w:rsid w:val="00201BB5"/>
    <w:rsid w:val="0026088A"/>
    <w:rsid w:val="00272FDA"/>
    <w:rsid w:val="002910BF"/>
    <w:rsid w:val="00356EE2"/>
    <w:rsid w:val="003A050E"/>
    <w:rsid w:val="003A1843"/>
    <w:rsid w:val="003F0F10"/>
    <w:rsid w:val="003F68CE"/>
    <w:rsid w:val="00430ADC"/>
    <w:rsid w:val="004404E6"/>
    <w:rsid w:val="00441DD2"/>
    <w:rsid w:val="00680155"/>
    <w:rsid w:val="00686296"/>
    <w:rsid w:val="006F78B9"/>
    <w:rsid w:val="00713CC9"/>
    <w:rsid w:val="0074099A"/>
    <w:rsid w:val="00774236"/>
    <w:rsid w:val="007937DD"/>
    <w:rsid w:val="007C321C"/>
    <w:rsid w:val="00843911"/>
    <w:rsid w:val="00854908"/>
    <w:rsid w:val="008E2E38"/>
    <w:rsid w:val="008F2AD9"/>
    <w:rsid w:val="0096750F"/>
    <w:rsid w:val="00A15931"/>
    <w:rsid w:val="00A170E1"/>
    <w:rsid w:val="00A80F14"/>
    <w:rsid w:val="00A96BD6"/>
    <w:rsid w:val="00AA5761"/>
    <w:rsid w:val="00AD4AFB"/>
    <w:rsid w:val="00B31145"/>
    <w:rsid w:val="00B62315"/>
    <w:rsid w:val="00B653C4"/>
    <w:rsid w:val="00BC78B0"/>
    <w:rsid w:val="00BD4C62"/>
    <w:rsid w:val="00BF5623"/>
    <w:rsid w:val="00BF5FD4"/>
    <w:rsid w:val="00C05BD5"/>
    <w:rsid w:val="00C71900"/>
    <w:rsid w:val="00CB02CC"/>
    <w:rsid w:val="00CD1465"/>
    <w:rsid w:val="00CF1F32"/>
    <w:rsid w:val="00D25AC7"/>
    <w:rsid w:val="00D7631C"/>
    <w:rsid w:val="00E2063A"/>
    <w:rsid w:val="00E360E5"/>
    <w:rsid w:val="00EC0938"/>
    <w:rsid w:val="00FA7B4B"/>
    <w:rsid w:val="00FE6B65"/>
    <w:rsid w:val="0B85A123"/>
    <w:rsid w:val="16D3BEC9"/>
    <w:rsid w:val="1BCB834A"/>
    <w:rsid w:val="30783EDD"/>
    <w:rsid w:val="3759AA45"/>
    <w:rsid w:val="4738509E"/>
    <w:rsid w:val="4ED92925"/>
    <w:rsid w:val="5786BA95"/>
    <w:rsid w:val="5FF6A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3D7D"/>
  <w15:chartTrackingRefBased/>
  <w15:docId w15:val="{212321DE-D327-4318-AD92-86AE5751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23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74236"/>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0E1"/>
  </w:style>
  <w:style w:type="paragraph" w:styleId="Footer">
    <w:name w:val="footer"/>
    <w:basedOn w:val="Normal"/>
    <w:link w:val="FooterChar"/>
    <w:uiPriority w:val="99"/>
    <w:unhideWhenUsed/>
    <w:rsid w:val="00A17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0E1"/>
  </w:style>
  <w:style w:type="paragraph" w:styleId="NoSpacing">
    <w:name w:val="No Spacing"/>
    <w:uiPriority w:val="1"/>
    <w:qFormat/>
    <w:rsid w:val="00BF5FD4"/>
    <w:pPr>
      <w:spacing w:after="0" w:line="240" w:lineRule="auto"/>
    </w:pPr>
  </w:style>
  <w:style w:type="character" w:customStyle="1" w:styleId="Heading1Char">
    <w:name w:val="Heading 1 Char"/>
    <w:basedOn w:val="DefaultParagraphFont"/>
    <w:link w:val="Heading1"/>
    <w:uiPriority w:val="9"/>
    <w:rsid w:val="00774236"/>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774236"/>
    <w:rPr>
      <w:rFonts w:asciiTheme="majorHAnsi" w:eastAsiaTheme="majorEastAsia" w:hAnsiTheme="majorHAnsi" w:cstheme="majorBidi"/>
      <w:color w:val="365F91" w:themeColor="accent1" w:themeShade="BF"/>
      <w:kern w:val="2"/>
      <w:sz w:val="32"/>
      <w:szCs w:val="32"/>
      <w14:ligatures w14:val="standardContextual"/>
    </w:rPr>
  </w:style>
  <w:style w:type="paragraph" w:styleId="ListParagraph">
    <w:name w:val="List Paragraph"/>
    <w:basedOn w:val="Normal"/>
    <w:uiPriority w:val="34"/>
    <w:qFormat/>
    <w:rsid w:val="00774236"/>
    <w:pPr>
      <w:spacing w:after="160" w:line="259" w:lineRule="auto"/>
      <w:ind w:left="720"/>
      <w:contextualSpacing/>
    </w:pPr>
    <w:rPr>
      <w:kern w:val="2"/>
      <w14:ligatures w14:val="standardContextual"/>
    </w:rPr>
  </w:style>
  <w:style w:type="character" w:styleId="Hyperlink">
    <w:name w:val="Hyperlink"/>
    <w:basedOn w:val="DefaultParagraphFont"/>
    <w:uiPriority w:val="99"/>
    <w:unhideWhenUsed/>
    <w:rsid w:val="00774236"/>
    <w:rPr>
      <w:color w:val="0000FF" w:themeColor="hyperlink"/>
      <w:u w:val="single"/>
    </w:rPr>
  </w:style>
  <w:style w:type="table" w:customStyle="1" w:styleId="TableGrid1">
    <w:name w:val="Table Grid1"/>
    <w:basedOn w:val="TableNormal"/>
    <w:next w:val="TableGrid"/>
    <w:rsid w:val="007742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74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mitomocorp.disclosure.site/en/themes/2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p.net/en/the-sustainable-economy-gloss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a.gov/green-power-markets/renewable-energy-certificates-re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fccc.int/process-and-meetings/the-paris-agreement" TargetMode="External"/><Relationship Id="rId5" Type="http://schemas.openxmlformats.org/officeDocument/2006/relationships/styles" Target="styles.xml"/><Relationship Id="rId15" Type="http://schemas.openxmlformats.org/officeDocument/2006/relationships/hyperlink" Target="https://www.epa.gov/climateleadership/scope-3-inventory-guidanc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a.gov/climateleadership/determine-organizational-bound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5849cc-6432-43ce-a889-3b573ffa051c" xsi:nil="true"/>
    <lcf76f155ced4ddcb4097134ff3c332f xmlns="aba0c504-3efb-41fe-a482-2e01d4011a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EE4275A4D4004AAA6116F5052F361B" ma:contentTypeVersion="15" ma:contentTypeDescription="Create a new document." ma:contentTypeScope="" ma:versionID="b2318d985faae45494098a5e511a83f4">
  <xsd:schema xmlns:xsd="http://www.w3.org/2001/XMLSchema" xmlns:xs="http://www.w3.org/2001/XMLSchema" xmlns:p="http://schemas.microsoft.com/office/2006/metadata/properties" xmlns:ns2="aba0c504-3efb-41fe-a482-2e01d4011aa5" xmlns:ns3="c55849cc-6432-43ce-a889-3b573ffa051c" targetNamespace="http://schemas.microsoft.com/office/2006/metadata/properties" ma:root="true" ma:fieldsID="7a88a248ee1af64328293f0f0f82232b" ns2:_="" ns3:_="">
    <xsd:import namespace="aba0c504-3efb-41fe-a482-2e01d4011aa5"/>
    <xsd:import namespace="c55849cc-6432-43ce-a889-3b573ffa05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0c504-3efb-41fe-a482-2e01d4011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0c4df9-6113-4331-a1c3-727b48e094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849cc-6432-43ce-a889-3b573ffa05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1a1fd1-fe68-4d1d-bab3-5ad3c059c0db}" ma:internalName="TaxCatchAll" ma:showField="CatchAllData" ma:web="c55849cc-6432-43ce-a889-3b573ffa051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3C4A3-9C39-4B92-8FDE-40F458C98DAE}">
  <ds:schemaRefs>
    <ds:schemaRef ds:uri="http://schemas.microsoft.com/sharepoint/v3/contenttype/forms"/>
  </ds:schemaRefs>
</ds:datastoreItem>
</file>

<file path=customXml/itemProps2.xml><?xml version="1.0" encoding="utf-8"?>
<ds:datastoreItem xmlns:ds="http://schemas.openxmlformats.org/officeDocument/2006/customXml" ds:itemID="{CA10BCE8-ECD7-4632-BED9-E40AC2FB5A95}">
  <ds:schemaRefs>
    <ds:schemaRef ds:uri="http://schemas.microsoft.com/office/2006/metadata/properties"/>
    <ds:schemaRef ds:uri="http://schemas.microsoft.com/office/infopath/2007/PartnerControls"/>
    <ds:schemaRef ds:uri="c55849cc-6432-43ce-a889-3b573ffa051c"/>
    <ds:schemaRef ds:uri="aba0c504-3efb-41fe-a482-2e01d4011aa5"/>
  </ds:schemaRefs>
</ds:datastoreItem>
</file>

<file path=customXml/itemProps3.xml><?xml version="1.0" encoding="utf-8"?>
<ds:datastoreItem xmlns:ds="http://schemas.openxmlformats.org/officeDocument/2006/customXml" ds:itemID="{66E12EF8-9510-4271-8EA7-2300D0D40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0c504-3efb-41fe-a482-2e01d4011aa5"/>
    <ds:schemaRef ds:uri="c55849cc-6432-43ce-a889-3b573ffa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SteelSummit Holdings Letterhead</dc:title>
  <dc:subject/>
  <dc:creator>Michelle Petersen</dc:creator>
  <cp:keywords/>
  <dc:description/>
  <cp:lastModifiedBy>Amanda Miller</cp:lastModifiedBy>
  <cp:revision>2</cp:revision>
  <dcterms:created xsi:type="dcterms:W3CDTF">2025-02-12T19:29:00Z</dcterms:created>
  <dcterms:modified xsi:type="dcterms:W3CDTF">2025-02-12T19:29:00Z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0x010100E8EE4275A4D4004AAA6116F5052F361B</vt:lpwstr>
  </property>
  <property fmtid="{D5CDD505-2E9C-101B-9397-08002B2CF9AE}" pid="3" name="Branch Codes">
    <vt:lpwstr>48;#ALL|8ddaa090-ba26-42a5-901c-9497e8306f08</vt:lpwstr>
  </property>
  <property fmtid="{D5CDD505-2E9C-101B-9397-08002B2CF9AE}" pid="4" name="JobTitle1">
    <vt:lpwstr/>
  </property>
  <property fmtid="{D5CDD505-2E9C-101B-9397-08002B2CF9AE}" pid="5" name="Departments">
    <vt:lpwstr/>
  </property>
  <property fmtid="{D5CDD505-2E9C-101B-9397-08002B2CF9AE}" pid="6" name="Department Area">
    <vt:lpwstr/>
  </property>
  <property fmtid="{D5CDD505-2E9C-101B-9397-08002B2CF9AE}" pid="7" name="da150d7cfbd54d3da36038386b6eae01">
    <vt:lpwstr/>
  </property>
  <property fmtid="{D5CDD505-2E9C-101B-9397-08002B2CF9AE}" pid="8" name="MediaServiceImageTags">
    <vt:lpwstr/>
  </property>
</Properties>
</file>